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rPr>
          <w:rFonts w:hint="default"/>
          <w:lang w:val="en-US" w:eastAsia="zh-CN"/>
        </w:rPr>
      </w:pPr>
      <w:r>
        <w:rPr>
          <w:rFonts w:hint="default" w:ascii="Times New Roman" w:hAnsi="Times New Roman" w:eastAsia="方正黑体_GBK" w:cs="Times New Roman"/>
          <w:b w:val="0"/>
          <w:bCs w:val="0"/>
          <w:sz w:val="32"/>
          <w:szCs w:val="32"/>
          <w:lang w:val="en-US" w:eastAsia="zh-CN"/>
        </w:rPr>
        <w:t>附件</w:t>
      </w:r>
      <w:r>
        <w:rPr>
          <w:rFonts w:hint="eastAsia" w:ascii="Times New Roman" w:hAnsi="Times New Roman" w:eastAsia="方正黑体_GBK" w:cs="Times New Roman"/>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val="en-US" w:eastAsia="zh-CN"/>
        </w:rPr>
        <w:t>南京信息工程大学</w:t>
      </w:r>
      <w:r>
        <w:rPr>
          <w:rFonts w:hint="eastAsia" w:ascii="方正小标宋_GBK" w:hAnsi="方正小标宋_GBK" w:eastAsia="方正小标宋_GBK" w:cs="方正小标宋_GBK"/>
          <w:b w:val="0"/>
          <w:bCs w:val="0"/>
          <w:sz w:val="36"/>
          <w:szCs w:val="36"/>
          <w:lang w:eastAsia="zh-CN"/>
        </w:rPr>
        <w:t>“</w:t>
      </w:r>
      <w:r>
        <w:rPr>
          <w:rFonts w:hint="default" w:ascii="方正小标宋_GBK" w:hAnsi="方正小标宋_GBK" w:eastAsia="方正小标宋_GBK" w:cs="方正小标宋_GBK"/>
          <w:b w:val="0"/>
          <w:bCs w:val="0"/>
          <w:sz w:val="36"/>
          <w:szCs w:val="36"/>
          <w:lang w:val="en-US" w:eastAsia="zh-CN"/>
        </w:rPr>
        <w:t>团支部工作成绩单</w:t>
      </w:r>
      <w:r>
        <w:rPr>
          <w:rFonts w:hint="eastAsia" w:ascii="方正小标宋_GBK" w:hAnsi="方正小标宋_GBK" w:eastAsia="方正小标宋_GBK" w:cs="方正小标宋_GBK"/>
          <w:b w:val="0"/>
          <w:bCs w:val="0"/>
          <w:sz w:val="36"/>
          <w:szCs w:val="36"/>
          <w:lang w:eastAsia="zh-CN"/>
        </w:rPr>
        <w:t>”</w:t>
      </w:r>
      <w:r>
        <w:rPr>
          <w:rFonts w:hint="eastAsia" w:ascii="方正小标宋_GBK" w:hAnsi="方正小标宋_GBK" w:eastAsia="方正小标宋_GBK" w:cs="方正小标宋_GBK"/>
          <w:b w:val="0"/>
          <w:bCs w:val="0"/>
          <w:sz w:val="36"/>
          <w:szCs w:val="36"/>
          <w:lang w:val="en-US" w:eastAsia="zh-CN"/>
        </w:rPr>
        <w:t>实施意见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为深入贯彻习近平总书记对群团改革工作的重要指示和全国高校思想政治工作会议的精神，全面落实《关于加强新时代团的基层建设 着力提升团的组织力的意见》有关要求，聚焦推动我校团支部规范化建设，切实提升团支部工作活力，着力增强团支部引领力、组织力和服务力，现面向全校的班级团支部实施“团支部工作成绩单”制度。具体意见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bCs/>
          <w:sz w:val="32"/>
          <w:szCs w:val="32"/>
          <w:lang w:val="en-US" w:eastAsia="zh-CN"/>
        </w:rPr>
        <w:t>一、工作目标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照共青团改革要求，紧紧围绕保持和增强共青团组织政治性、先进性、群众性这一基本目标，通过建立科学合理的高校“团支部工作成绩单”制度，全面落实高校基层团支部工作清单，明确高校团支部工作职责、工作内容和工作标准。</w:t>
      </w:r>
      <w:r>
        <w:rPr>
          <w:rFonts w:hint="eastAsia" w:ascii="仿宋" w:hAnsi="仿宋" w:eastAsia="仿宋" w:cs="仿宋"/>
          <w:b/>
          <w:bCs/>
          <w:sz w:val="32"/>
          <w:szCs w:val="32"/>
          <w:lang w:val="en-US" w:eastAsia="zh-CN"/>
        </w:rPr>
        <w:t>依托“PU平台”等技术手段，系统规划、有力推动团支部的工作开展，客观记录、有效认证、科学评价团支部的工作落实和工作成效。</w:t>
      </w:r>
      <w:r>
        <w:rPr>
          <w:rFonts w:hint="eastAsia" w:ascii="仿宋" w:hAnsi="仿宋" w:eastAsia="仿宋" w:cs="仿宋"/>
          <w:b w:val="0"/>
          <w:bCs w:val="0"/>
          <w:sz w:val="32"/>
          <w:szCs w:val="32"/>
          <w:lang w:val="en-US" w:eastAsia="zh-CN"/>
        </w:rPr>
        <w:t>建立完善工作激励机制，将“团支部工作成绩单”作为团支部参与各类评选的重要依据，进一步激发团支部在思想引领、素质拓展、权益服务、组织建设等方面的功能发挥。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二、工作内容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1.明确功能定位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明确“团支部工作成绩单”在基层团组织建设中“全过程记录、动态化跟踪、可视化呈现、科学化评价”的功能和定位。</w:t>
      </w:r>
      <w:r>
        <w:rPr>
          <w:rFonts w:hint="eastAsia" w:ascii="仿宋" w:hAnsi="仿宋" w:eastAsia="仿宋" w:cs="仿宋"/>
          <w:b/>
          <w:bCs/>
          <w:sz w:val="32"/>
          <w:szCs w:val="32"/>
          <w:lang w:val="en-US" w:eastAsia="zh-CN"/>
        </w:rPr>
        <w:t>依托“PU平台”等技术手段，搭建起团支部工作线上平台，对团支部的工作开展进行全过程的客观记录和实时跟踪；</w:t>
      </w:r>
      <w:r>
        <w:rPr>
          <w:rFonts w:hint="eastAsia" w:ascii="仿宋" w:hAnsi="仿宋" w:eastAsia="仿宋" w:cs="仿宋"/>
          <w:b w:val="0"/>
          <w:bCs w:val="0"/>
          <w:sz w:val="32"/>
          <w:szCs w:val="32"/>
          <w:lang w:val="en-US" w:eastAsia="zh-CN"/>
        </w:rPr>
        <w:t>依托工作平台，对“团支部工作清单”上的内容分模块进行可视化的呈现，督促工作清单的落地落实；建立起一整套科学有效的评价体系，对团支部的工作落实和工作成效进行系统化的评价。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 强化内容设计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立足高校“团支部工作清单”，充分融合学校、学院的实际情况，构建出包含“思想政治引领、组织建设、基础工作、活力提升”4个固定模块和N个特色模块组成的“4+N”成绩单评价体系基本框架。“思想政治引领”模块由“信仰公开课、主题团日活动、青年大学习”三个固定指标和若干个自选特色指标构成；“组织建设”模块由“团的支部委员会建设，支部大会、支委会、团小组会，团员教育评议、团员年度团籍注册，团课”四个固定指标和若干个自选特色指标构成；“基础工作”模块由“推优入党、‘双述双评’、团员发展、团费收缴”四个固定指标和若干个自选特色指标构成；“活力提升”模块由“‘两红两优’等各类团内表彰评选，‘百强千优’基层团支部评选，社会实践，志愿服务，承担上级团组织的工作项目、会议或活动”五个固定指标和若干个自选特色指标构成。各学院可充分结合学校立德树人的根本任务和育人工作实际，探索将班级学业帮扶、奖勤助贷、心理健康等工作同团支部权益服务工作相统筹，打造符合学院实际的特色模块和自选特色指标；要探索合理的指标赋权方法，确保“团支部工作成绩单”评价方法的科学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3.加强结果应用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构建出激励机制，充分发挥“团支部工作成绩单”的结果应用，进一步激发基层团支部活力。要将“团支部工作成绩单”作为“五四评优”“百强千优”等团内评奖评优的重要参考依据；要加强与共青团“活力提升工程”“班团一体化”等重点工作的联动协同，推动将“团支部工作成绩单”作为班集体考核的重要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三、工作要求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各学院团委要成立专门工作组，院团委书记为第一责任人，学院团委副书记具体负责，统筹推进该项工作。</w:t>
      </w:r>
      <w:r>
        <w:rPr>
          <w:rFonts w:hint="eastAsia" w:ascii="仿宋" w:hAnsi="仿宋" w:eastAsia="仿宋" w:cs="仿宋"/>
          <w:b w:val="0"/>
          <w:bCs w:val="0"/>
          <w:sz w:val="32"/>
          <w:szCs w:val="32"/>
          <w:lang w:val="en-US" w:eastAsia="zh-CN"/>
        </w:rPr>
        <w:t>要依照本意见的要求，参考有益经验，结合学院实际，既抓好共性模块的落实，也要注重个性化模块的探索，研究制定具体操作方案。校团委PU平台已经搭建完毕，请</w:t>
      </w:r>
      <w:r>
        <w:rPr>
          <w:rFonts w:hint="eastAsia" w:ascii="仿宋" w:hAnsi="仿宋" w:eastAsia="仿宋" w:cs="仿宋"/>
          <w:b/>
          <w:bCs/>
          <w:sz w:val="32"/>
          <w:szCs w:val="32"/>
          <w:lang w:val="en-US" w:eastAsia="zh-CN"/>
        </w:rPr>
        <w:t>各学院团委于11月30日前</w:t>
      </w:r>
      <w:r>
        <w:rPr>
          <w:rFonts w:hint="eastAsia" w:ascii="仿宋" w:hAnsi="仿宋" w:eastAsia="仿宋" w:cs="仿宋"/>
          <w:b w:val="0"/>
          <w:bCs w:val="0"/>
          <w:sz w:val="32"/>
          <w:szCs w:val="32"/>
          <w:lang w:val="en-US" w:eastAsia="zh-CN"/>
        </w:rPr>
        <w:t>按照操作指南完成院级层面功能、团支部层面功能搭建，学院团委书记指导监督好“团支部工作成绩单”具体工作的开展。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附件：2.1江苏高校“团支部工作成绩单”评价体系基本框架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2.2“团支部工作成绩单”操作简介（以PU平台为例）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p>
    <w:p>
      <w:pPr>
        <w:pStyle w:val="2"/>
        <w:rPr>
          <w:rFonts w:hint="eastAsia" w:eastAsia="方正仿宋_GBK" w:cs="Times New Roman"/>
          <w:b w:val="0"/>
          <w:bCs w:val="0"/>
          <w:sz w:val="32"/>
          <w:szCs w:val="32"/>
          <w:lang w:val="en-US" w:eastAsia="zh-CN"/>
        </w:rPr>
      </w:pPr>
    </w:p>
    <w:p>
      <w:pPr>
        <w:widowControl w:val="0"/>
        <w:wordWrap/>
        <w:adjustRightInd/>
        <w:snapToGrid/>
        <w:spacing w:line="560" w:lineRule="exact"/>
        <w:ind w:left="0" w:leftChars="0" w:right="0"/>
        <w:jc w:val="center"/>
        <w:textAlignment w:val="auto"/>
        <w:outlineLvl w:val="9"/>
        <w:rPr>
          <w:rFonts w:hint="eastAsia" w:ascii="方正小标宋_GBK" w:hAnsi="方正小标宋_GBK" w:eastAsia="方正小标宋_GBK" w:cs="方正小标宋_GBK"/>
          <w:b w:val="0"/>
          <w:bCs/>
          <w:i w:val="0"/>
          <w:color w:val="000000"/>
          <w:kern w:val="0"/>
          <w:sz w:val="36"/>
          <w:szCs w:val="36"/>
          <w:u w:val="none"/>
          <w:lang w:val="en-US" w:eastAsia="zh-CN"/>
        </w:rPr>
      </w:pPr>
    </w:p>
    <w:p>
      <w:pPr>
        <w:widowControl w:val="0"/>
        <w:wordWrap/>
        <w:adjustRightInd/>
        <w:snapToGrid/>
        <w:spacing w:line="560" w:lineRule="exact"/>
        <w:ind w:left="0" w:leftChars="0" w:right="0"/>
        <w:jc w:val="center"/>
        <w:textAlignment w:val="auto"/>
        <w:outlineLvl w:val="9"/>
        <w:rPr>
          <w:rFonts w:hint="eastAsia" w:ascii="方正小标宋_GBK" w:hAnsi="方正小标宋_GBK" w:eastAsia="方正小标宋_GBK" w:cs="方正小标宋_GBK"/>
          <w:b w:val="0"/>
          <w:bCs/>
          <w:i w:val="0"/>
          <w:color w:val="000000"/>
          <w:kern w:val="0"/>
          <w:sz w:val="36"/>
          <w:szCs w:val="36"/>
          <w:u w:val="none"/>
          <w:lang w:val="en-US" w:eastAsia="zh-CN"/>
        </w:rPr>
      </w:pPr>
    </w:p>
    <w:p>
      <w:pPr>
        <w:widowControl w:val="0"/>
        <w:wordWrap/>
        <w:adjustRightInd/>
        <w:snapToGrid/>
        <w:spacing w:line="560" w:lineRule="exact"/>
        <w:ind w:left="0" w:leftChars="0" w:right="0"/>
        <w:jc w:val="center"/>
        <w:textAlignment w:val="auto"/>
        <w:outlineLvl w:val="9"/>
        <w:rPr>
          <w:rFonts w:hint="eastAsia" w:ascii="方正小标宋_GBK" w:hAnsi="方正小标宋_GBK" w:eastAsia="方正小标宋_GBK" w:cs="方正小标宋_GBK"/>
          <w:b w:val="0"/>
          <w:bCs/>
          <w:i w:val="0"/>
          <w:color w:val="000000"/>
          <w:kern w:val="0"/>
          <w:sz w:val="36"/>
          <w:szCs w:val="36"/>
          <w:u w:val="none"/>
          <w:lang w:val="en-US" w:eastAsia="zh-CN"/>
        </w:rPr>
      </w:pPr>
    </w:p>
    <w:p>
      <w:pPr>
        <w:widowControl w:val="0"/>
        <w:wordWrap/>
        <w:adjustRightInd/>
        <w:snapToGrid/>
        <w:spacing w:line="560" w:lineRule="exact"/>
        <w:ind w:left="0" w:leftChars="0" w:right="0"/>
        <w:jc w:val="both"/>
        <w:textAlignment w:val="auto"/>
        <w:outlineLvl w:val="9"/>
        <w:rPr>
          <w:rFonts w:hint="eastAsia" w:ascii="方正小标宋_GBK" w:hAnsi="方正小标宋_GBK" w:eastAsia="方正小标宋_GBK" w:cs="方正小标宋_GBK"/>
          <w:b w:val="0"/>
          <w:bCs/>
          <w:i w:val="0"/>
          <w:color w:val="000000"/>
          <w:kern w:val="0"/>
          <w:sz w:val="36"/>
          <w:szCs w:val="36"/>
          <w:u w:val="none"/>
          <w:lang w:val="en-US" w:eastAsia="zh-CN"/>
        </w:rPr>
      </w:pPr>
    </w:p>
    <w:p>
      <w:pPr>
        <w:widowControl w:val="0"/>
        <w:wordWrap/>
        <w:adjustRightInd/>
        <w:snapToGrid/>
        <w:spacing w:line="560" w:lineRule="exact"/>
        <w:ind w:left="0" w:leftChars="0" w:right="0"/>
        <w:jc w:val="both"/>
        <w:textAlignment w:val="auto"/>
        <w:outlineLvl w:val="9"/>
        <w:rPr>
          <w:rFonts w:hint="eastAsia" w:ascii="方正小标宋_GBK" w:hAnsi="方正小标宋_GBK" w:eastAsia="方正小标宋_GBK" w:cs="方正小标宋_GBK"/>
          <w:b w:val="0"/>
          <w:bCs/>
          <w:i w:val="0"/>
          <w:color w:val="000000"/>
          <w:kern w:val="0"/>
          <w:sz w:val="36"/>
          <w:szCs w:val="36"/>
          <w:u w:val="none"/>
          <w:lang w:val="en-US" w:eastAsia="zh-CN"/>
        </w:rPr>
      </w:pPr>
      <w:r>
        <w:rPr>
          <w:rFonts w:hint="eastAsia" w:ascii="仿宋_GB2312" w:hAnsi="仿宋_GB2312" w:eastAsia="仿宋_GB2312" w:cs="仿宋_GB2312"/>
          <w:b/>
          <w:bCs w:val="0"/>
          <w:i w:val="0"/>
          <w:color w:val="000000"/>
          <w:kern w:val="0"/>
          <w:sz w:val="28"/>
          <w:szCs w:val="28"/>
          <w:u w:val="none"/>
          <w:lang w:val="en-US" w:eastAsia="zh-CN"/>
        </w:rPr>
        <w:t>附件2.1</w:t>
      </w:r>
    </w:p>
    <w:p>
      <w:pPr>
        <w:widowControl w:val="0"/>
        <w:wordWrap/>
        <w:adjustRightInd/>
        <w:snapToGrid/>
        <w:spacing w:line="560" w:lineRule="exact"/>
        <w:ind w:left="0" w:leftChars="0" w:right="0"/>
        <w:jc w:val="center"/>
        <w:textAlignment w:val="auto"/>
        <w:outlineLvl w:val="9"/>
        <w:rPr>
          <w:rFonts w:hint="default" w:ascii="Times New Roman" w:hAnsi="Times New Roman" w:eastAsia="方正小标宋_GBK" w:cs="Times New Roman"/>
          <w:b/>
          <w:i w:val="0"/>
          <w:color w:val="000000"/>
          <w:kern w:val="0"/>
          <w:sz w:val="36"/>
          <w:szCs w:val="36"/>
          <w:u w:val="none"/>
          <w:lang w:val="en-US" w:eastAsia="zh-CN"/>
        </w:rPr>
      </w:pPr>
      <w:r>
        <w:rPr>
          <w:rFonts w:hint="eastAsia" w:ascii="方正小标宋_GBK" w:hAnsi="方正小标宋_GBK" w:eastAsia="方正小标宋_GBK" w:cs="方正小标宋_GBK"/>
          <w:b w:val="0"/>
          <w:bCs/>
          <w:i w:val="0"/>
          <w:color w:val="000000"/>
          <w:kern w:val="0"/>
          <w:sz w:val="36"/>
          <w:szCs w:val="36"/>
          <w:u w:val="none"/>
          <w:lang w:val="en-US" w:eastAsia="zh-CN"/>
        </w:rPr>
        <w:t>江苏高校“团支部工作成绩单”评价体系基本框架</w:t>
      </w:r>
    </w:p>
    <w:tbl>
      <w:tblPr>
        <w:tblStyle w:val="4"/>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5"/>
        <w:gridCol w:w="2450"/>
        <w:gridCol w:w="5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exact"/>
          <w:jc w:val="center"/>
        </w:trPr>
        <w:tc>
          <w:tcPr>
            <w:tcW w:w="1125" w:type="dxa"/>
            <w:tcBorders>
              <w:top w:val="single" w:color="000000" w:sz="8" w:space="0"/>
              <w:left w:val="single" w:color="000000" w:sz="8" w:space="0"/>
              <w:bottom w:val="single" w:color="000000" w:sz="8" w:space="0"/>
              <w:right w:val="single" w:color="000000" w:sz="8" w:space="0"/>
              <w:tl2br w:val="nil"/>
              <w:tr2bl w:val="nil"/>
            </w:tcBorders>
            <w:shd w:val="clear" w:color="auto" w:fill="A4A4A4"/>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黑体_GBK" w:cs="Times New Roman"/>
                <w:b w:val="0"/>
                <w:bCs/>
                <w:i w:val="0"/>
                <w:color w:val="000000"/>
                <w:sz w:val="16"/>
                <w:szCs w:val="16"/>
                <w:u w:val="none"/>
              </w:rPr>
            </w:pPr>
            <w:r>
              <w:rPr>
                <w:rFonts w:hint="default" w:ascii="Times New Roman" w:hAnsi="Times New Roman" w:eastAsia="方正黑体_GBK" w:cs="Times New Roman"/>
                <w:b w:val="0"/>
                <w:bCs/>
                <w:i w:val="0"/>
                <w:color w:val="000000"/>
                <w:kern w:val="0"/>
                <w:sz w:val="16"/>
                <w:szCs w:val="16"/>
                <w:u w:val="none"/>
                <w:lang w:val="en-US" w:eastAsia="zh-CN"/>
              </w:rPr>
              <w:t>模块</w:t>
            </w:r>
          </w:p>
        </w:tc>
        <w:tc>
          <w:tcPr>
            <w:tcW w:w="2450" w:type="dxa"/>
            <w:tcBorders>
              <w:top w:val="single" w:color="000000" w:sz="8" w:space="0"/>
              <w:left w:val="single" w:color="000000" w:sz="8" w:space="0"/>
              <w:bottom w:val="single" w:color="000000" w:sz="8" w:space="0"/>
              <w:right w:val="single" w:color="000000" w:sz="8" w:space="0"/>
              <w:tl2br w:val="nil"/>
              <w:tr2bl w:val="nil"/>
            </w:tcBorders>
            <w:shd w:val="clear" w:color="auto" w:fill="A4A4A4"/>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黑体_GBK" w:cs="Times New Roman"/>
                <w:b w:val="0"/>
                <w:bCs/>
                <w:i w:val="0"/>
                <w:color w:val="000000"/>
                <w:sz w:val="16"/>
                <w:szCs w:val="16"/>
                <w:u w:val="none"/>
              </w:rPr>
            </w:pPr>
            <w:r>
              <w:rPr>
                <w:rFonts w:hint="default" w:ascii="Times New Roman" w:hAnsi="Times New Roman" w:eastAsia="方正黑体_GBK" w:cs="Times New Roman"/>
                <w:b w:val="0"/>
                <w:bCs/>
                <w:i w:val="0"/>
                <w:color w:val="000000"/>
                <w:kern w:val="0"/>
                <w:sz w:val="16"/>
                <w:szCs w:val="16"/>
                <w:u w:val="none"/>
                <w:lang w:val="en-US" w:eastAsia="zh-CN"/>
              </w:rPr>
              <w:t>项目指标</w:t>
            </w:r>
          </w:p>
        </w:tc>
        <w:tc>
          <w:tcPr>
            <w:tcW w:w="5505" w:type="dxa"/>
            <w:tcBorders>
              <w:top w:val="single" w:color="000000" w:sz="8" w:space="0"/>
              <w:left w:val="single" w:color="000000" w:sz="8" w:space="0"/>
              <w:bottom w:val="single" w:color="000000" w:sz="8" w:space="0"/>
              <w:right w:val="single" w:color="000000" w:sz="8" w:space="0"/>
              <w:tl2br w:val="nil"/>
              <w:tr2bl w:val="nil"/>
            </w:tcBorders>
            <w:shd w:val="clear" w:color="auto" w:fill="A4A4A4"/>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黑体_GBK" w:cs="Times New Roman"/>
                <w:b w:val="0"/>
                <w:bCs/>
                <w:i w:val="0"/>
                <w:color w:val="000000"/>
                <w:sz w:val="16"/>
                <w:szCs w:val="16"/>
                <w:u w:val="none"/>
              </w:rPr>
            </w:pPr>
            <w:r>
              <w:rPr>
                <w:rFonts w:hint="default" w:ascii="Times New Roman" w:hAnsi="Times New Roman" w:eastAsia="方正黑体_GBK" w:cs="Times New Roman"/>
                <w:b w:val="0"/>
                <w:bCs/>
                <w:i w:val="0"/>
                <w:color w:val="000000"/>
                <w:kern w:val="0"/>
                <w:sz w:val="16"/>
                <w:szCs w:val="16"/>
                <w:u w:val="none"/>
                <w:lang w:val="en-US" w:eastAsia="zh-CN"/>
              </w:rPr>
              <w:t>项目要求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黑体_GBK" w:cs="Times New Roman"/>
                <w:b w:val="0"/>
                <w:bCs/>
                <w:i w:val="0"/>
                <w:color w:val="000000"/>
                <w:kern w:val="0"/>
                <w:sz w:val="16"/>
                <w:szCs w:val="16"/>
                <w:u w:val="none"/>
                <w:lang w:val="en-US" w:eastAsia="zh-CN"/>
              </w:rPr>
            </w:pPr>
            <w:bookmarkStart w:id="0" w:name="_GoBack"/>
            <w:bookmarkEnd w:id="0"/>
            <w:r>
              <w:rPr>
                <w:rFonts w:hint="default" w:ascii="Times New Roman" w:hAnsi="Times New Roman" w:eastAsia="方正黑体_GBK" w:cs="Times New Roman"/>
                <w:b w:val="0"/>
                <w:bCs/>
                <w:i w:val="0"/>
                <w:color w:val="000000"/>
                <w:kern w:val="0"/>
                <w:sz w:val="16"/>
                <w:szCs w:val="16"/>
                <w:u w:val="none"/>
                <w:lang w:val="en-US" w:eastAsia="zh-CN"/>
              </w:rPr>
              <w:t>思想政治</w:t>
            </w:r>
          </w:p>
          <w:p>
            <w:pPr>
              <w:widowControl/>
              <w:wordWrap/>
              <w:adjustRightInd/>
              <w:snapToGrid/>
              <w:spacing w:line="560" w:lineRule="exact"/>
              <w:ind w:left="0" w:leftChars="0" w:right="0"/>
              <w:jc w:val="center"/>
              <w:textAlignment w:val="center"/>
              <w:outlineLvl w:val="9"/>
              <w:rPr>
                <w:rFonts w:hint="default" w:ascii="Times New Roman" w:hAnsi="Times New Roman" w:eastAsia="方正黑体_GBK" w:cs="Times New Roman"/>
                <w:b w:val="0"/>
                <w:bCs/>
                <w:i w:val="0"/>
                <w:color w:val="000000"/>
                <w:sz w:val="16"/>
                <w:szCs w:val="16"/>
                <w:u w:val="none"/>
              </w:rPr>
            </w:pPr>
            <w:r>
              <w:rPr>
                <w:rFonts w:hint="default" w:ascii="Times New Roman" w:hAnsi="Times New Roman" w:eastAsia="方正黑体_GBK" w:cs="Times New Roman"/>
                <w:b w:val="0"/>
                <w:bCs/>
                <w:i w:val="0"/>
                <w:color w:val="000000"/>
                <w:kern w:val="0"/>
                <w:sz w:val="16"/>
                <w:szCs w:val="16"/>
                <w:u w:val="none"/>
                <w:lang w:val="en-US" w:eastAsia="zh-CN"/>
              </w:rPr>
              <w:t>引领</w:t>
            </w: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1.信仰公开课</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每学年开展4次信仰公开课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2.主题团日活动</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每月组织开展1次主题团日活动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3.青年大学习</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全员参与线上青年大学习活动，每学期集中开展2次以上理论学习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kern w:val="0"/>
                <w:sz w:val="16"/>
                <w:szCs w:val="16"/>
                <w:u w:val="none"/>
                <w:lang w:val="en-US" w:eastAsia="zh-CN"/>
              </w:rPr>
            </w:pPr>
            <w:r>
              <w:rPr>
                <w:rFonts w:hint="default" w:ascii="Times New Roman" w:hAnsi="Times New Roman" w:eastAsia="方正仿宋_GBK" w:cs="Times New Roman"/>
                <w:i w:val="0"/>
                <w:color w:val="000000"/>
                <w:kern w:val="0"/>
                <w:sz w:val="16"/>
                <w:szCs w:val="16"/>
                <w:u w:val="none"/>
                <w:lang w:val="en-US" w:eastAsia="zh-CN"/>
              </w:rPr>
              <w:t>特色指标</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kern w:val="0"/>
                <w:sz w:val="16"/>
                <w:szCs w:val="16"/>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黑体_GBK" w:cs="Times New Roman"/>
                <w:b w:val="0"/>
                <w:bCs/>
                <w:i w:val="0"/>
                <w:color w:val="000000"/>
                <w:sz w:val="16"/>
                <w:szCs w:val="16"/>
                <w:u w:val="none"/>
              </w:rPr>
            </w:pPr>
            <w:r>
              <w:rPr>
                <w:rFonts w:hint="default" w:ascii="Times New Roman" w:hAnsi="Times New Roman" w:eastAsia="方正黑体_GBK" w:cs="Times New Roman"/>
                <w:b w:val="0"/>
                <w:bCs/>
                <w:i w:val="0"/>
                <w:color w:val="000000"/>
                <w:kern w:val="0"/>
                <w:sz w:val="16"/>
                <w:szCs w:val="16"/>
                <w:u w:val="none"/>
                <w:lang w:val="en-US" w:eastAsia="zh-CN"/>
              </w:rPr>
              <w:t>组织建设</w:t>
            </w: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1.团支部委员会建设</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按期换届，配齐配优支委会</w:t>
            </w:r>
            <w:r>
              <w:rPr>
                <w:rFonts w:hint="eastAsia" w:ascii="Times New Roman" w:hAnsi="Times New Roman" w:eastAsia="方正仿宋_GBK" w:cs="Times New Roman"/>
                <w:i w:val="0"/>
                <w:color w:val="000000"/>
                <w:kern w:val="0"/>
                <w:sz w:val="16"/>
                <w:szCs w:val="16"/>
                <w:u w:val="none"/>
                <w:lang w:val="en-US" w:eastAsia="zh-CN"/>
              </w:rPr>
              <w:t>，明确支委分工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2.支部大会、支委会、团小组会</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每季度至少开展1次支部大会，每月至少开展1次支委会，按需</w:t>
            </w:r>
            <w:r>
              <w:rPr>
                <w:rFonts w:hint="eastAsia" w:ascii="Times New Roman" w:hAnsi="Times New Roman" w:eastAsia="方正仿宋_GBK" w:cs="Times New Roman"/>
                <w:i w:val="0"/>
                <w:color w:val="000000"/>
                <w:kern w:val="0"/>
                <w:sz w:val="16"/>
                <w:szCs w:val="16"/>
                <w:u w:val="none"/>
                <w:lang w:val="en-US" w:eastAsia="zh-CN"/>
              </w:rPr>
              <w:t>召开</w:t>
            </w:r>
            <w:r>
              <w:rPr>
                <w:rFonts w:hint="default" w:ascii="Times New Roman" w:hAnsi="Times New Roman" w:eastAsia="方正仿宋_GBK" w:cs="Times New Roman"/>
                <w:i w:val="0"/>
                <w:color w:val="000000"/>
                <w:kern w:val="0"/>
                <w:sz w:val="16"/>
                <w:szCs w:val="16"/>
                <w:u w:val="none"/>
                <w:lang w:val="en-US" w:eastAsia="zh-CN"/>
              </w:rPr>
              <w:t>团小组会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3.团员教育评议、团员年度团籍注册</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每年进行1次团员教育评议工作，按规定做好团籍注册工作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4.团课</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每季度开展1次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kern w:val="0"/>
                <w:sz w:val="16"/>
                <w:szCs w:val="16"/>
                <w:u w:val="none"/>
                <w:lang w:val="en-US" w:eastAsia="zh-CN"/>
              </w:rPr>
            </w:pPr>
            <w:r>
              <w:rPr>
                <w:rFonts w:hint="default" w:ascii="Times New Roman" w:hAnsi="Times New Roman" w:eastAsia="方正仿宋_GBK" w:cs="Times New Roman"/>
                <w:i w:val="0"/>
                <w:color w:val="000000"/>
                <w:kern w:val="0"/>
                <w:sz w:val="16"/>
                <w:szCs w:val="16"/>
                <w:u w:val="none"/>
                <w:lang w:val="en-US" w:eastAsia="zh-CN"/>
              </w:rPr>
              <w:t>特色指标</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kern w:val="0"/>
                <w:sz w:val="16"/>
                <w:szCs w:val="16"/>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黑体_GBK" w:cs="Times New Roman"/>
                <w:b w:val="0"/>
                <w:bCs/>
                <w:i w:val="0"/>
                <w:color w:val="000000"/>
                <w:sz w:val="16"/>
                <w:szCs w:val="16"/>
                <w:u w:val="none"/>
                <w:lang w:val="en-US" w:eastAsia="zh-CN"/>
              </w:rPr>
            </w:pPr>
            <w:r>
              <w:rPr>
                <w:rFonts w:hint="default" w:ascii="Times New Roman" w:hAnsi="Times New Roman" w:eastAsia="方正黑体_GBK" w:cs="Times New Roman"/>
                <w:b w:val="0"/>
                <w:bCs/>
                <w:i w:val="0"/>
                <w:color w:val="000000"/>
                <w:sz w:val="16"/>
                <w:szCs w:val="16"/>
                <w:u w:val="none"/>
                <w:lang w:val="en-US" w:eastAsia="zh-CN"/>
              </w:rPr>
              <w:t>基础工作</w:t>
            </w: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1.推优入党</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严格落实工作程序和要求，</w:t>
            </w:r>
            <w:r>
              <w:rPr>
                <w:rFonts w:hint="eastAsia" w:ascii="Times New Roman" w:hAnsi="Times New Roman" w:eastAsia="方正仿宋_GBK" w:cs="Times New Roman"/>
                <w:i w:val="0"/>
                <w:color w:val="000000"/>
                <w:kern w:val="0"/>
                <w:sz w:val="16"/>
                <w:szCs w:val="16"/>
                <w:u w:val="none"/>
                <w:lang w:val="en-US" w:eastAsia="zh-CN"/>
              </w:rPr>
              <w:t>扎实做好</w:t>
            </w:r>
            <w:r>
              <w:rPr>
                <w:rFonts w:hint="default" w:ascii="Times New Roman" w:hAnsi="Times New Roman" w:eastAsia="方正仿宋_GBK" w:cs="Times New Roman"/>
                <w:i w:val="0"/>
                <w:color w:val="000000"/>
                <w:kern w:val="0"/>
                <w:sz w:val="16"/>
                <w:szCs w:val="16"/>
                <w:u w:val="none"/>
                <w:lang w:val="en-US" w:eastAsia="zh-CN"/>
              </w:rPr>
              <w:t>推优入党工作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2.</w:t>
            </w:r>
            <w:r>
              <w:rPr>
                <w:rFonts w:hint="eastAsia" w:ascii="Times New Roman" w:hAnsi="Times New Roman" w:eastAsia="方正仿宋_GBK" w:cs="Times New Roman"/>
                <w:i w:val="0"/>
                <w:color w:val="000000"/>
                <w:kern w:val="0"/>
                <w:sz w:val="16"/>
                <w:szCs w:val="16"/>
                <w:u w:val="none"/>
                <w:lang w:val="en-US" w:eastAsia="zh-CN"/>
              </w:rPr>
              <w:t>“</w:t>
            </w:r>
            <w:r>
              <w:rPr>
                <w:rFonts w:hint="default" w:ascii="Times New Roman" w:hAnsi="Times New Roman" w:eastAsia="方正仿宋_GBK" w:cs="Times New Roman"/>
                <w:i w:val="0"/>
                <w:color w:val="000000"/>
                <w:kern w:val="0"/>
                <w:sz w:val="16"/>
                <w:szCs w:val="16"/>
                <w:u w:val="none"/>
                <w:lang w:val="en-US" w:eastAsia="zh-CN"/>
              </w:rPr>
              <w:t>双述双评</w:t>
            </w:r>
            <w:r>
              <w:rPr>
                <w:rFonts w:hint="eastAsia" w:ascii="Times New Roman" w:hAnsi="Times New Roman" w:eastAsia="方正仿宋_GBK" w:cs="Times New Roman"/>
                <w:i w:val="0"/>
                <w:color w:val="000000"/>
                <w:kern w:val="0"/>
                <w:sz w:val="16"/>
                <w:szCs w:val="16"/>
                <w:u w:val="none"/>
                <w:lang w:val="en-US" w:eastAsia="zh-CN"/>
              </w:rPr>
              <w:t>”</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每学年开展</w:t>
            </w:r>
            <w:r>
              <w:rPr>
                <w:rFonts w:hint="eastAsia" w:ascii="Times New Roman" w:hAnsi="Times New Roman" w:eastAsia="方正仿宋_GBK" w:cs="Times New Roman"/>
                <w:i w:val="0"/>
                <w:color w:val="000000"/>
                <w:kern w:val="0"/>
                <w:sz w:val="16"/>
                <w:szCs w:val="16"/>
                <w:u w:val="none"/>
                <w:lang w:val="en-US" w:eastAsia="zh-CN"/>
              </w:rPr>
              <w:t>1</w:t>
            </w:r>
            <w:r>
              <w:rPr>
                <w:rFonts w:hint="default" w:ascii="Times New Roman" w:hAnsi="Times New Roman" w:eastAsia="方正仿宋_GBK" w:cs="Times New Roman"/>
                <w:i w:val="0"/>
                <w:color w:val="000000"/>
                <w:kern w:val="0"/>
                <w:sz w:val="16"/>
                <w:szCs w:val="16"/>
                <w:u w:val="none"/>
                <w:lang w:val="en-US" w:eastAsia="zh-CN"/>
              </w:rPr>
              <w:t>次</w:t>
            </w:r>
            <w:r>
              <w:rPr>
                <w:rFonts w:hint="eastAsia" w:ascii="Times New Roman" w:hAnsi="Times New Roman" w:eastAsia="方正仿宋_GBK" w:cs="Times New Roman"/>
                <w:i w:val="0"/>
                <w:color w:val="000000"/>
                <w:kern w:val="0"/>
                <w:sz w:val="16"/>
                <w:szCs w:val="16"/>
                <w:u w:val="none"/>
                <w:lang w:val="en-US" w:eastAsia="zh-CN"/>
              </w:rPr>
              <w:t>“</w:t>
            </w:r>
            <w:r>
              <w:rPr>
                <w:rFonts w:hint="default" w:ascii="Times New Roman" w:hAnsi="Times New Roman" w:eastAsia="方正仿宋_GBK" w:cs="Times New Roman"/>
                <w:i w:val="0"/>
                <w:color w:val="000000"/>
                <w:kern w:val="0"/>
                <w:sz w:val="16"/>
                <w:szCs w:val="16"/>
                <w:u w:val="none"/>
                <w:lang w:val="en-US" w:eastAsia="zh-CN"/>
              </w:rPr>
              <w:t>双述双评</w:t>
            </w:r>
            <w:r>
              <w:rPr>
                <w:rFonts w:hint="eastAsia" w:ascii="Times New Roman" w:hAnsi="Times New Roman" w:eastAsia="方正仿宋_GBK" w:cs="Times New Roman"/>
                <w:i w:val="0"/>
                <w:color w:val="000000"/>
                <w:kern w:val="0"/>
                <w:sz w:val="16"/>
                <w:szCs w:val="16"/>
                <w:u w:val="none"/>
                <w:lang w:val="en-US" w:eastAsia="zh-CN"/>
              </w:rPr>
              <w:t>”</w:t>
            </w:r>
            <w:r>
              <w:rPr>
                <w:rFonts w:hint="default" w:ascii="Times New Roman" w:hAnsi="Times New Roman" w:eastAsia="方正仿宋_GBK" w:cs="Times New Roman"/>
                <w:i w:val="0"/>
                <w:color w:val="000000"/>
                <w:kern w:val="0"/>
                <w:sz w:val="16"/>
                <w:szCs w:val="16"/>
                <w:u w:val="none"/>
                <w:lang w:val="en-US" w:eastAsia="zh-CN"/>
              </w:rPr>
              <w:t>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kern w:val="0"/>
                <w:sz w:val="16"/>
                <w:szCs w:val="16"/>
                <w:u w:val="none"/>
                <w:lang w:val="en-US" w:eastAsia="zh-CN"/>
              </w:rPr>
            </w:pPr>
            <w:r>
              <w:rPr>
                <w:rFonts w:hint="default" w:ascii="Times New Roman" w:hAnsi="Times New Roman" w:eastAsia="方正仿宋_GBK" w:cs="Times New Roman"/>
                <w:i w:val="0"/>
                <w:color w:val="000000"/>
                <w:kern w:val="0"/>
                <w:sz w:val="16"/>
                <w:szCs w:val="16"/>
                <w:u w:val="none"/>
                <w:lang w:val="en-US" w:eastAsia="zh-CN"/>
              </w:rPr>
              <w:t>3.团员发展</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kern w:val="0"/>
                <w:sz w:val="16"/>
                <w:szCs w:val="16"/>
                <w:u w:val="none"/>
                <w:lang w:val="en-US" w:eastAsia="zh-CN"/>
              </w:rPr>
            </w:pPr>
            <w:r>
              <w:rPr>
                <w:rFonts w:hint="default" w:ascii="Times New Roman" w:hAnsi="Times New Roman" w:eastAsia="方正仿宋_GBK" w:cs="Times New Roman"/>
                <w:i w:val="0"/>
                <w:color w:val="000000"/>
                <w:kern w:val="0"/>
                <w:sz w:val="16"/>
                <w:szCs w:val="16"/>
                <w:u w:val="none"/>
                <w:lang w:val="en-US" w:eastAsia="zh-CN"/>
              </w:rPr>
              <w:t>按规定开展好团员发展工作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kern w:val="0"/>
                <w:sz w:val="16"/>
                <w:szCs w:val="16"/>
                <w:u w:val="none"/>
                <w:lang w:val="en-US" w:eastAsia="zh-CN"/>
              </w:rPr>
            </w:pPr>
            <w:r>
              <w:rPr>
                <w:rFonts w:hint="default" w:ascii="Times New Roman" w:hAnsi="Times New Roman" w:eastAsia="方正仿宋_GBK" w:cs="Times New Roman"/>
                <w:i w:val="0"/>
                <w:color w:val="000000"/>
                <w:kern w:val="0"/>
                <w:sz w:val="16"/>
                <w:szCs w:val="16"/>
                <w:u w:val="none"/>
                <w:lang w:val="en-US" w:eastAsia="zh-CN"/>
              </w:rPr>
              <w:t>4.团费收缴</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kern w:val="0"/>
                <w:sz w:val="16"/>
                <w:szCs w:val="16"/>
                <w:u w:val="none"/>
                <w:lang w:val="en-US" w:eastAsia="zh-CN"/>
              </w:rPr>
            </w:pPr>
            <w:r>
              <w:rPr>
                <w:rFonts w:hint="default" w:ascii="Times New Roman" w:hAnsi="Times New Roman" w:eastAsia="方正仿宋_GBK" w:cs="Times New Roman"/>
                <w:i w:val="0"/>
                <w:color w:val="000000"/>
                <w:kern w:val="0"/>
                <w:sz w:val="16"/>
                <w:szCs w:val="16"/>
                <w:u w:val="none"/>
                <w:lang w:val="en-US" w:eastAsia="zh-CN"/>
              </w:rPr>
              <w:t>按规定收缴团费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kern w:val="0"/>
                <w:sz w:val="16"/>
                <w:szCs w:val="16"/>
                <w:u w:val="none"/>
                <w:lang w:val="en-US" w:eastAsia="zh-CN"/>
              </w:rPr>
            </w:pPr>
            <w:r>
              <w:rPr>
                <w:rFonts w:hint="default" w:ascii="Times New Roman" w:hAnsi="Times New Roman" w:eastAsia="方正仿宋_GBK" w:cs="Times New Roman"/>
                <w:i w:val="0"/>
                <w:color w:val="000000"/>
                <w:kern w:val="0"/>
                <w:sz w:val="16"/>
                <w:szCs w:val="16"/>
                <w:u w:val="none"/>
                <w:lang w:val="en-US" w:eastAsia="zh-CN"/>
              </w:rPr>
              <w:t>特色指标</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kern w:val="0"/>
                <w:sz w:val="16"/>
                <w:szCs w:val="16"/>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黑体_GBK" w:cs="Times New Roman"/>
                <w:b w:val="0"/>
                <w:bCs/>
                <w:i w:val="0"/>
                <w:color w:val="000000"/>
                <w:sz w:val="16"/>
                <w:szCs w:val="16"/>
                <w:u w:val="none"/>
              </w:rPr>
            </w:pPr>
            <w:r>
              <w:rPr>
                <w:rFonts w:hint="default" w:ascii="Times New Roman" w:hAnsi="Times New Roman" w:eastAsia="方正黑体_GBK" w:cs="Times New Roman"/>
                <w:b w:val="0"/>
                <w:bCs/>
                <w:i w:val="0"/>
                <w:color w:val="000000"/>
                <w:kern w:val="0"/>
                <w:sz w:val="16"/>
                <w:szCs w:val="16"/>
                <w:u w:val="none"/>
                <w:lang w:val="en-US" w:eastAsia="zh-CN"/>
              </w:rPr>
              <w:t>活力提升</w:t>
            </w: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1.“两红两优”等各类团内表彰评选</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积极参与全国、省、市、校、院等各级评选表彰争创推报工作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2.“百强千优”基层团支部评选</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积极参与“百强千优”评选争创推报工作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3.社会实践</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积极组织开展“三下乡”“力行杯”“就业见习”等实践育人活动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4.志愿服务</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广泛组织开展各类志愿服务活动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sz w:val="16"/>
                <w:szCs w:val="16"/>
                <w:u w:val="none"/>
              </w:rPr>
            </w:pPr>
            <w:r>
              <w:rPr>
                <w:rFonts w:hint="default" w:ascii="Times New Roman" w:hAnsi="Times New Roman" w:eastAsia="方正仿宋_GBK" w:cs="Times New Roman"/>
                <w:i w:val="0"/>
                <w:color w:val="000000"/>
                <w:kern w:val="0"/>
                <w:sz w:val="16"/>
                <w:szCs w:val="16"/>
                <w:u w:val="none"/>
                <w:lang w:val="en-US" w:eastAsia="zh-CN"/>
              </w:rPr>
              <w:t>5.承担上级团组织的工作项目</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sz w:val="16"/>
                <w:szCs w:val="16"/>
                <w:u w:val="none"/>
                <w:lang w:val="en-US" w:eastAsia="zh-CN"/>
              </w:rPr>
            </w:pPr>
            <w:r>
              <w:rPr>
                <w:rFonts w:hint="default" w:ascii="Times New Roman" w:hAnsi="Times New Roman" w:eastAsia="方正仿宋_GBK" w:cs="Times New Roman"/>
                <w:i w:val="0"/>
                <w:color w:val="000000"/>
                <w:sz w:val="16"/>
                <w:szCs w:val="16"/>
                <w:u w:val="none"/>
                <w:lang w:val="en-US" w:eastAsia="zh-CN"/>
              </w:rPr>
              <w:t>积极承担校团委、院团委等上级团组织的各类</w:t>
            </w:r>
            <w:r>
              <w:rPr>
                <w:rFonts w:hint="default" w:ascii="Times New Roman" w:hAnsi="Times New Roman" w:eastAsia="方正仿宋_GBK" w:cs="Times New Roman"/>
                <w:i w:val="0"/>
                <w:color w:val="000000"/>
                <w:kern w:val="0"/>
                <w:sz w:val="16"/>
                <w:szCs w:val="16"/>
                <w:u w:val="none"/>
                <w:lang w:val="en-US" w:eastAsia="zh-CN"/>
              </w:rPr>
              <w:t>工作项目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jc w:val="center"/>
        </w:trPr>
        <w:tc>
          <w:tcPr>
            <w:tcW w:w="1125"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rPr>
            </w:pP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left"/>
              <w:textAlignment w:val="center"/>
              <w:outlineLvl w:val="9"/>
              <w:rPr>
                <w:rFonts w:hint="default" w:ascii="Times New Roman" w:hAnsi="Times New Roman" w:eastAsia="方正仿宋_GBK" w:cs="Times New Roman"/>
                <w:i w:val="0"/>
                <w:color w:val="000000"/>
                <w:kern w:val="0"/>
                <w:sz w:val="16"/>
                <w:szCs w:val="16"/>
                <w:u w:val="none"/>
                <w:lang w:val="en-US" w:eastAsia="zh-CN"/>
              </w:rPr>
            </w:pPr>
            <w:r>
              <w:rPr>
                <w:rFonts w:hint="default" w:ascii="Times New Roman" w:hAnsi="Times New Roman" w:eastAsia="方正仿宋_GBK" w:cs="Times New Roman"/>
                <w:i w:val="0"/>
                <w:color w:val="000000"/>
                <w:kern w:val="0"/>
                <w:sz w:val="16"/>
                <w:szCs w:val="16"/>
                <w:u w:val="none"/>
                <w:lang w:val="en-US" w:eastAsia="zh-CN"/>
              </w:rPr>
              <w:t>特色指标</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kern w:val="0"/>
                <w:sz w:val="16"/>
                <w:szCs w:val="16"/>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18" w:hRule="exact"/>
          <w:jc w:val="center"/>
        </w:trPr>
        <w:tc>
          <w:tcPr>
            <w:tcW w:w="112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ordWrap/>
              <w:adjustRightInd/>
              <w:snapToGrid/>
              <w:spacing w:line="560" w:lineRule="exact"/>
              <w:ind w:left="0" w:leftChars="0" w:right="0"/>
              <w:jc w:val="center"/>
              <w:outlineLvl w:val="9"/>
              <w:rPr>
                <w:rFonts w:hint="default" w:ascii="Times New Roman" w:hAnsi="Times New Roman" w:eastAsia="方正黑体_GBK" w:cs="Times New Roman"/>
                <w:b w:val="0"/>
                <w:bCs/>
                <w:i w:val="0"/>
                <w:color w:val="000000"/>
                <w:sz w:val="16"/>
                <w:szCs w:val="16"/>
                <w:u w:val="none"/>
                <w:lang w:val="en-US" w:eastAsia="zh-CN"/>
              </w:rPr>
            </w:pPr>
            <w:r>
              <w:rPr>
                <w:rFonts w:hint="default" w:ascii="Times New Roman" w:hAnsi="Times New Roman" w:eastAsia="方正黑体_GBK" w:cs="Times New Roman"/>
                <w:b w:val="0"/>
                <w:bCs/>
                <w:i w:val="0"/>
                <w:color w:val="000000"/>
                <w:sz w:val="16"/>
                <w:szCs w:val="16"/>
                <w:u w:val="none"/>
                <w:lang w:val="en-US" w:eastAsia="zh-CN"/>
              </w:rPr>
              <w:t>特色模块</w:t>
            </w:r>
          </w:p>
        </w:tc>
        <w:tc>
          <w:tcPr>
            <w:tcW w:w="245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kern w:val="0"/>
                <w:sz w:val="16"/>
                <w:szCs w:val="16"/>
                <w:u w:val="none"/>
                <w:lang w:val="en-US" w:eastAsia="zh-CN"/>
              </w:rPr>
            </w:pPr>
            <w:r>
              <w:rPr>
                <w:rFonts w:hint="default" w:ascii="Times New Roman" w:hAnsi="Times New Roman" w:eastAsia="方正仿宋_GBK" w:cs="Times New Roman"/>
                <w:i w:val="0"/>
                <w:color w:val="000000"/>
                <w:kern w:val="0"/>
                <w:sz w:val="16"/>
                <w:szCs w:val="16"/>
                <w:u w:val="none"/>
                <w:lang w:val="en-US" w:eastAsia="zh-CN"/>
              </w:rPr>
              <w:t>可围绕学业帮扶、奖勤助贷、心理健康等工作探索设计</w:t>
            </w:r>
          </w:p>
        </w:tc>
        <w:tc>
          <w:tcPr>
            <w:tcW w:w="550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default" w:ascii="Times New Roman" w:hAnsi="Times New Roman" w:eastAsia="方正仿宋_GBK" w:cs="Times New Roman"/>
                <w:i w:val="0"/>
                <w:color w:val="000000"/>
                <w:kern w:val="0"/>
                <w:sz w:val="16"/>
                <w:szCs w:val="16"/>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93" w:hRule="exact"/>
          <w:jc w:val="center"/>
        </w:trPr>
        <w:tc>
          <w:tcPr>
            <w:tcW w:w="9080"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wordWrap/>
              <w:adjustRightInd/>
              <w:snapToGrid/>
              <w:spacing w:line="560" w:lineRule="exact"/>
              <w:ind w:left="0" w:leftChars="0" w:right="0"/>
              <w:jc w:val="center"/>
              <w:textAlignment w:val="center"/>
              <w:outlineLvl w:val="9"/>
              <w:rPr>
                <w:rFonts w:hint="eastAsia" w:ascii="方正楷体_GBK" w:hAnsi="方正楷体_GBK" w:eastAsia="方正楷体_GBK" w:cs="方正楷体_GBK"/>
                <w:i w:val="0"/>
                <w:color w:val="000000"/>
                <w:kern w:val="0"/>
                <w:sz w:val="18"/>
                <w:szCs w:val="18"/>
                <w:u w:val="none"/>
                <w:lang w:val="en-US" w:eastAsia="zh-CN"/>
              </w:rPr>
            </w:pPr>
            <w:r>
              <w:rPr>
                <w:rFonts w:hint="eastAsia" w:ascii="方正楷体_GBK" w:hAnsi="方正楷体_GBK" w:eastAsia="方正楷体_GBK" w:cs="方正楷体_GBK"/>
                <w:i w:val="0"/>
                <w:color w:val="000000"/>
                <w:kern w:val="0"/>
                <w:sz w:val="18"/>
                <w:szCs w:val="18"/>
                <w:u w:val="none"/>
                <w:lang w:val="en-US" w:eastAsia="zh-CN"/>
              </w:rPr>
              <w:t>备注：各支部的主题团日活动可以信仰公开课、理论学习等形式开展，可与支部大会、团员教育评议、双述双评</w:t>
            </w:r>
          </w:p>
          <w:p>
            <w:pPr>
              <w:widowControl/>
              <w:wordWrap/>
              <w:adjustRightInd/>
              <w:snapToGrid/>
              <w:spacing w:line="560" w:lineRule="exact"/>
              <w:ind w:left="0" w:leftChars="0" w:right="0"/>
              <w:jc w:val="both"/>
              <w:textAlignment w:val="center"/>
              <w:outlineLvl w:val="9"/>
              <w:rPr>
                <w:rFonts w:hint="default" w:ascii="Times New Roman" w:hAnsi="Times New Roman" w:eastAsia="方正仿宋_GBK" w:cs="Times New Roman"/>
                <w:i w:val="0"/>
                <w:color w:val="000000"/>
                <w:kern w:val="0"/>
                <w:sz w:val="16"/>
                <w:szCs w:val="16"/>
                <w:u w:val="none"/>
                <w:lang w:val="en-US" w:eastAsia="zh-CN"/>
              </w:rPr>
            </w:pPr>
            <w:r>
              <w:rPr>
                <w:rFonts w:hint="eastAsia" w:ascii="方正楷体_GBK" w:hAnsi="方正楷体_GBK" w:eastAsia="方正楷体_GBK" w:cs="方正楷体_GBK"/>
                <w:i w:val="0"/>
                <w:color w:val="000000"/>
                <w:kern w:val="0"/>
                <w:sz w:val="18"/>
                <w:szCs w:val="18"/>
                <w:u w:val="none"/>
                <w:lang w:val="en-US" w:eastAsia="zh-CN"/>
              </w:rPr>
              <w:t>等工作结合开展。</w:t>
            </w:r>
          </w:p>
        </w:tc>
      </w:tr>
    </w:tbl>
    <w:p>
      <w:pPr>
        <w:widowControl w:val="0"/>
        <w:numPr>
          <w:ilvl w:val="0"/>
          <w:numId w:val="0"/>
        </w:numPr>
        <w:wordWrap/>
        <w:adjustRightInd/>
        <w:snapToGrid/>
        <w:spacing w:line="580" w:lineRule="exact"/>
        <w:ind w:left="0" w:leftChars="0" w:right="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p>
    <w:p>
      <w:pPr>
        <w:pStyle w:val="2"/>
        <w:ind w:left="0" w:leftChars="0" w:firstLine="0" w:firstLineChars="0"/>
        <w:rPr>
          <w:rFonts w:hint="default" w:ascii="Times New Roman" w:hAnsi="Times New Roman" w:eastAsia="方正仿宋_GBK" w:cs="Times New Roman"/>
          <w:b w:val="0"/>
          <w:bCs w:val="0"/>
          <w:sz w:val="32"/>
          <w:szCs w:val="32"/>
          <w:lang w:val="en-US" w:eastAsia="zh-CN"/>
        </w:rPr>
      </w:pPr>
    </w:p>
    <w:p>
      <w:pPr>
        <w:jc w:val="both"/>
        <w:rPr>
          <w:rFonts w:hint="eastAsia" w:ascii="方正小标宋_GBK" w:hAnsi="方正小标宋_GBK" w:eastAsia="方正小标宋_GBK" w:cs="方正小标宋_GBK"/>
          <w:b/>
          <w:bCs/>
          <w:sz w:val="28"/>
          <w:szCs w:val="28"/>
          <w:lang w:val="en-US" w:eastAsia="zh-CN"/>
        </w:rPr>
      </w:pPr>
      <w:r>
        <w:rPr>
          <w:rFonts w:hint="eastAsia" w:ascii="仿宋_GB2312" w:hAnsi="仿宋_GB2312" w:eastAsia="仿宋_GB2312" w:cs="仿宋_GB2312"/>
          <w:b/>
          <w:bCs/>
          <w:sz w:val="28"/>
          <w:szCs w:val="28"/>
          <w:lang w:val="en-US" w:eastAsia="zh-CN"/>
        </w:rPr>
        <w:t>附件2.2</w:t>
      </w:r>
      <w:r>
        <w:rPr>
          <w:rFonts w:hint="eastAsia" w:ascii="方正小标宋_GBK" w:hAnsi="方正小标宋_GBK" w:eastAsia="方正小标宋_GBK" w:cs="方正小标宋_GBK"/>
          <w:b/>
          <w:bCs/>
          <w:sz w:val="28"/>
          <w:szCs w:val="28"/>
          <w:lang w:val="en-US" w:eastAsia="zh-CN"/>
        </w:rPr>
        <w:t xml:space="preserve"> </w:t>
      </w:r>
    </w:p>
    <w:p>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“团支部工作成绩单”操作简介（以PU平台为例）</w:t>
      </w:r>
    </w:p>
    <w:p>
      <w:pPr>
        <w:jc w:val="center"/>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（PU平台联系人：</w:t>
      </w:r>
      <w:r>
        <w:rPr>
          <w:rFonts w:hint="eastAsia" w:ascii="Times New Roman" w:hAnsi="Times New Roman" w:eastAsia="方正楷体_GBK" w:cs="Times New Roman"/>
          <w:sz w:val="32"/>
          <w:szCs w:val="32"/>
          <w:lang w:val="en-US" w:eastAsia="zh-CN"/>
        </w:rPr>
        <w:t>李昂 18551410407</w:t>
      </w:r>
      <w:r>
        <w:rPr>
          <w:rFonts w:hint="default" w:ascii="Times New Roman" w:hAnsi="Times New Roman" w:eastAsia="方正楷体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院级层面功能</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院系老师可审核开展方式为“PU活动”形式的项目，由对应团支部发起的活动，活动审核与普通</w:t>
      </w:r>
      <w:r>
        <w:rPr>
          <w:rFonts w:hint="eastAsia" w:ascii="Times New Roman" w:hAnsi="Times New Roman" w:eastAsia="方正仿宋_GBK" w:cs="Times New Roman"/>
          <w:sz w:val="32"/>
          <w:szCs w:val="32"/>
          <w:lang w:val="en-US" w:eastAsia="zh-CN"/>
        </w:rPr>
        <w:t>第</w:t>
      </w:r>
      <w:r>
        <w:rPr>
          <w:rFonts w:hint="default"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val="en-US" w:eastAsia="zh-CN"/>
        </w:rPr>
        <w:t>课堂</w:t>
      </w:r>
      <w:r>
        <w:rPr>
          <w:rFonts w:hint="default" w:ascii="Times New Roman" w:hAnsi="Times New Roman" w:eastAsia="方正仿宋_GBK" w:cs="Times New Roman"/>
          <w:sz w:val="32"/>
          <w:szCs w:val="32"/>
          <w:lang w:val="en-US" w:eastAsia="zh-CN"/>
        </w:rPr>
        <w:t>活动审核基本一致，会增加“团支部活动”的红色标识，相应活动将正常计入学校第二课堂活动中，也一并计入该团支部工作项目中进行统计加分。</w:t>
      </w:r>
    </w:p>
    <w:p>
      <w:pPr>
        <w:numPr>
          <w:ilvl w:val="0"/>
          <w:numId w:val="0"/>
        </w:numPr>
        <w:jc w:val="left"/>
      </w:pPr>
      <w:r>
        <w:drawing>
          <wp:inline distT="0" distB="0" distL="114300" distR="114300">
            <wp:extent cx="5263515" cy="1167130"/>
            <wp:effectExtent l="0" t="0" r="9525" b="635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4"/>
                    <a:stretch>
                      <a:fillRect/>
                    </a:stretch>
                  </pic:blipFill>
                  <pic:spPr>
                    <a:xfrm>
                      <a:off x="0" y="0"/>
                      <a:ext cx="5263515" cy="1167130"/>
                    </a:xfrm>
                    <a:prstGeom prst="rect">
                      <a:avLst/>
                    </a:prstGeom>
                    <a:noFill/>
                    <a:ln>
                      <a:noFill/>
                    </a:ln>
                  </pic:spPr>
                </pic:pic>
              </a:graphicData>
            </a:graphic>
          </wp:inline>
        </w:drawing>
      </w:r>
    </w:p>
    <w:p>
      <w:pPr>
        <w:numPr>
          <w:ilvl w:val="0"/>
          <w:numId w:val="0"/>
        </w:numPr>
        <w:jc w:val="left"/>
        <w:rPr>
          <w:rFonts w:hint="default"/>
          <w:lang w:val="en-US" w:eastAsia="zh-CN"/>
        </w:rPr>
      </w:pPr>
      <w:r>
        <w:drawing>
          <wp:inline distT="0" distB="0" distL="114300" distR="114300">
            <wp:extent cx="5264785" cy="3018790"/>
            <wp:effectExtent l="0" t="0" r="8255" b="1397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5"/>
                    <a:stretch>
                      <a:fillRect/>
                    </a:stretch>
                  </pic:blipFill>
                  <pic:spPr>
                    <a:xfrm>
                      <a:off x="0" y="0"/>
                      <a:ext cx="5264785" cy="3018790"/>
                    </a:xfrm>
                    <a:prstGeom prst="rect">
                      <a:avLst/>
                    </a:prstGeom>
                    <a:noFill/>
                    <a:ln>
                      <a:noFill/>
                    </a:ln>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院系审核人可对团支部提交的加分内容进行审核（校级审核人功能一致）</w:t>
      </w:r>
    </w:p>
    <w:p>
      <w:pPr>
        <w:numPr>
          <w:ilvl w:val="0"/>
          <w:numId w:val="0"/>
        </w:numPr>
        <w:jc w:val="left"/>
      </w:pPr>
      <w:r>
        <w:drawing>
          <wp:inline distT="0" distB="0" distL="114300" distR="114300">
            <wp:extent cx="5266690" cy="978535"/>
            <wp:effectExtent l="0" t="0" r="6350" b="1206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6"/>
                    <a:stretch>
                      <a:fillRect/>
                    </a:stretch>
                  </pic:blipFill>
                  <pic:spPr>
                    <a:xfrm>
                      <a:off x="0" y="0"/>
                      <a:ext cx="5266690" cy="978535"/>
                    </a:xfrm>
                    <a:prstGeom prst="rect">
                      <a:avLst/>
                    </a:prstGeom>
                    <a:noFill/>
                    <a:ln>
                      <a:noFill/>
                    </a:ln>
                  </pic:spPr>
                </pic:pic>
              </a:graphicData>
            </a:graphic>
          </wp:inline>
        </w:drawing>
      </w:r>
    </w:p>
    <w:p>
      <w:pPr>
        <w:numPr>
          <w:ilvl w:val="0"/>
          <w:numId w:val="0"/>
        </w:numPr>
        <w:jc w:val="left"/>
        <w:rPr>
          <w:rFonts w:hint="default"/>
          <w:lang w:val="en-US" w:eastAsia="zh-CN"/>
        </w:rPr>
      </w:pPr>
      <w:r>
        <w:drawing>
          <wp:inline distT="0" distB="0" distL="114300" distR="114300">
            <wp:extent cx="5269230" cy="2419350"/>
            <wp:effectExtent l="0" t="0" r="3810" b="381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7"/>
                    <a:stretch>
                      <a:fillRect/>
                    </a:stretch>
                  </pic:blipFill>
                  <pic:spPr>
                    <a:xfrm>
                      <a:off x="0" y="0"/>
                      <a:ext cx="5269230" cy="241935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3.  </w:t>
      </w:r>
      <w:r>
        <w:rPr>
          <w:rFonts w:hint="default" w:ascii="Times New Roman" w:hAnsi="Times New Roman" w:eastAsia="方正仿宋_GBK" w:cs="Times New Roman"/>
          <w:sz w:val="32"/>
          <w:szCs w:val="32"/>
          <w:lang w:val="en-US" w:eastAsia="zh-CN"/>
        </w:rPr>
        <w:t>院级团支部工作成绩单管理老师可以对本院系的团支部进行扣分及查看成绩单操作。（校级审核人功能一致）</w:t>
      </w:r>
    </w:p>
    <w:p>
      <w:pPr>
        <w:numPr>
          <w:ilvl w:val="0"/>
          <w:numId w:val="0"/>
        </w:numPr>
        <w:jc w:val="left"/>
      </w:pPr>
      <w:r>
        <w:drawing>
          <wp:inline distT="0" distB="0" distL="114300" distR="114300">
            <wp:extent cx="5268595" cy="1414145"/>
            <wp:effectExtent l="0" t="0" r="4445" b="3175"/>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pic:cNvPicPr>
                  </pic:nvPicPr>
                  <pic:blipFill>
                    <a:blip r:embed="rId8"/>
                    <a:stretch>
                      <a:fillRect/>
                    </a:stretch>
                  </pic:blipFill>
                  <pic:spPr>
                    <a:xfrm>
                      <a:off x="0" y="0"/>
                      <a:ext cx="5268595" cy="1414145"/>
                    </a:xfrm>
                    <a:prstGeom prst="rect">
                      <a:avLst/>
                    </a:prstGeom>
                    <a:noFill/>
                    <a:ln>
                      <a:noFill/>
                    </a:ln>
                  </pic:spPr>
                </pic:pic>
              </a:graphicData>
            </a:graphic>
          </wp:inline>
        </w:drawing>
      </w:r>
    </w:p>
    <w:p>
      <w:pPr>
        <w:numPr>
          <w:ilvl w:val="0"/>
          <w:numId w:val="0"/>
        </w:numPr>
        <w:jc w:val="left"/>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团支部层面操作</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发起团支部工作活动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lang w:val="en-US"/>
        </w:rPr>
      </w:pPr>
      <w:r>
        <w:rPr>
          <w:rFonts w:hint="eastAsia"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lang w:val="en-US" w:eastAsia="zh-CN"/>
        </w:rPr>
        <w:t>团支书在“团支部工作”模块点击“发起支部活动”进行操作，过程与发起PU平台第二课堂活动基本一致，区别在于比普通二课活动增加了归属团支部、归属模块（类别）以及归属项目的选项。</w:t>
      </w:r>
    </w:p>
    <w:p>
      <w:pPr>
        <w:numPr>
          <w:ilvl w:val="0"/>
          <w:numId w:val="0"/>
        </w:numPr>
        <w:ind w:leftChars="0"/>
        <w:jc w:val="left"/>
      </w:pPr>
      <w:r>
        <w:drawing>
          <wp:inline distT="0" distB="0" distL="114300" distR="114300">
            <wp:extent cx="5264785" cy="1816735"/>
            <wp:effectExtent l="0" t="0" r="8255" b="12065"/>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9"/>
                    <a:stretch>
                      <a:fillRect/>
                    </a:stretch>
                  </pic:blipFill>
                  <pic:spPr>
                    <a:xfrm>
                      <a:off x="0" y="0"/>
                      <a:ext cx="5264785" cy="181673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sz w:val="32"/>
          <w:szCs w:val="32"/>
          <w:lang w:val="en-US" w:eastAsia="zh-CN"/>
        </w:rPr>
        <w:t>发起成功等待初审，被老师审核通过后活动正常进行报名、签到、完结一系列流程。完结时除为参与活动的同学发放第二课堂得分外还将计算活动的参与率、好评率，达到学校设置的标准时将计入团支部工作得分，完成此项内容。</w:t>
      </w:r>
    </w:p>
    <w:p>
      <w:pPr>
        <w:numPr>
          <w:ilvl w:val="0"/>
          <w:numId w:val="0"/>
        </w:numPr>
        <w:ind w:leftChars="0"/>
        <w:jc w:val="left"/>
      </w:pPr>
      <w:r>
        <w:drawing>
          <wp:inline distT="0" distB="0" distL="114300" distR="114300">
            <wp:extent cx="5268595" cy="1143000"/>
            <wp:effectExtent l="0" t="0" r="4445"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0"/>
                    <a:stretch>
                      <a:fillRect/>
                    </a:stretch>
                  </pic:blipFill>
                  <pic:spPr>
                    <a:xfrm>
                      <a:off x="0" y="0"/>
                      <a:ext cx="5268595" cy="1143000"/>
                    </a:xfrm>
                    <a:prstGeom prst="rect">
                      <a:avLst/>
                    </a:prstGeom>
                    <a:noFill/>
                    <a:ln>
                      <a:noFill/>
                    </a:ln>
                  </pic:spPr>
                </pic:pic>
              </a:graphicData>
            </a:graphic>
          </wp:inline>
        </w:drawing>
      </w:r>
    </w:p>
    <w:p>
      <w:pPr>
        <w:numPr>
          <w:ilvl w:val="0"/>
          <w:numId w:val="0"/>
        </w:numPr>
        <w:ind w:leftChars="0"/>
        <w:jc w:val="left"/>
        <w:rPr>
          <w:rFonts w:hint="eastAsia"/>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团支书上报完成的工作项目申请加分</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在团支部工作内进入“材料上报”模块，按要求填写完成工作项目的申请提交至相关审核老师处。</w:t>
      </w:r>
    </w:p>
    <w:p>
      <w:pPr>
        <w:numPr>
          <w:ilvl w:val="0"/>
          <w:numId w:val="0"/>
        </w:numPr>
        <w:ind w:leftChars="0"/>
        <w:jc w:val="left"/>
      </w:pPr>
      <w:r>
        <w:drawing>
          <wp:inline distT="0" distB="0" distL="114300" distR="114300">
            <wp:extent cx="5265420" cy="2340610"/>
            <wp:effectExtent l="0" t="0" r="7620" b="635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11"/>
                    <a:stretch>
                      <a:fillRect/>
                    </a:stretch>
                  </pic:blipFill>
                  <pic:spPr>
                    <a:xfrm>
                      <a:off x="0" y="0"/>
                      <a:ext cx="5265420" cy="2340610"/>
                    </a:xfrm>
                    <a:prstGeom prst="rect">
                      <a:avLst/>
                    </a:prstGeom>
                    <a:noFill/>
                    <a:ln>
                      <a:noFill/>
                    </a:ln>
                  </pic:spPr>
                </pic:pic>
              </a:graphicData>
            </a:graphic>
          </wp:inline>
        </w:drawing>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“我的申请”可查看已提交的材料审核状态</w:t>
      </w:r>
    </w:p>
    <w:p>
      <w:pPr>
        <w:widowControl w:val="0"/>
        <w:numPr>
          <w:ilvl w:val="0"/>
          <w:numId w:val="0"/>
        </w:numPr>
        <w:jc w:val="left"/>
      </w:pPr>
      <w:r>
        <w:drawing>
          <wp:inline distT="0" distB="0" distL="114300" distR="114300">
            <wp:extent cx="5266690" cy="1017270"/>
            <wp:effectExtent l="0" t="0" r="6350" b="381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5266690" cy="1017270"/>
                    </a:xfrm>
                    <a:prstGeom prst="rect">
                      <a:avLst/>
                    </a:prstGeom>
                    <a:noFill/>
                    <a:ln>
                      <a:noFill/>
                    </a:ln>
                  </pic:spPr>
                </pic:pic>
              </a:graphicData>
            </a:graphic>
          </wp:inline>
        </w:drawing>
      </w:r>
    </w:p>
    <w:p>
      <w:pPr>
        <w:widowControl w:val="0"/>
        <w:numPr>
          <w:ilvl w:val="0"/>
          <w:numId w:val="0"/>
        </w:numPr>
        <w:jc w:val="left"/>
      </w:pPr>
      <w:r>
        <w:drawing>
          <wp:inline distT="0" distB="0" distL="114300" distR="114300">
            <wp:extent cx="5268595" cy="361950"/>
            <wp:effectExtent l="0" t="0" r="4445" b="3810"/>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pic:cNvPicPr>
                      <a:picLocks noChangeAspect="1"/>
                    </pic:cNvPicPr>
                  </pic:nvPicPr>
                  <pic:blipFill>
                    <a:blip r:embed="rId13"/>
                    <a:stretch>
                      <a:fillRect/>
                    </a:stretch>
                  </pic:blipFill>
                  <pic:spPr>
                    <a:xfrm>
                      <a:off x="0" y="0"/>
                      <a:ext cx="5268595" cy="361950"/>
                    </a:xfrm>
                    <a:prstGeom prst="rect">
                      <a:avLst/>
                    </a:prstGeom>
                    <a:noFill/>
                    <a:ln>
                      <a:noFill/>
                    </a:ln>
                  </pic:spPr>
                </pic:pic>
              </a:graphicData>
            </a:graphic>
          </wp:inline>
        </w:drawing>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查看本支部工作成绩单</w:t>
      </w:r>
    </w:p>
    <w:p>
      <w:pPr>
        <w:widowControl w:val="0"/>
        <w:numPr>
          <w:ilvl w:val="0"/>
          <w:numId w:val="0"/>
        </w:numPr>
        <w:jc w:val="left"/>
      </w:pPr>
      <w:r>
        <w:drawing>
          <wp:inline distT="0" distB="0" distL="114300" distR="114300">
            <wp:extent cx="5265420" cy="1802765"/>
            <wp:effectExtent l="0" t="0" r="7620" b="10795"/>
            <wp:docPr id="1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7"/>
                    <pic:cNvPicPr>
                      <a:picLocks noChangeAspect="1"/>
                    </pic:cNvPicPr>
                  </pic:nvPicPr>
                  <pic:blipFill>
                    <a:blip r:embed="rId14"/>
                    <a:stretch>
                      <a:fillRect/>
                    </a:stretch>
                  </pic:blipFill>
                  <pic:spPr>
                    <a:xfrm>
                      <a:off x="0" y="0"/>
                      <a:ext cx="5265420" cy="1802765"/>
                    </a:xfrm>
                    <a:prstGeom prst="rect">
                      <a:avLst/>
                    </a:prstGeom>
                    <a:noFill/>
                    <a:ln>
                      <a:noFill/>
                    </a:ln>
                  </pic:spPr>
                </pic:pic>
              </a:graphicData>
            </a:graphic>
          </wp:inline>
        </w:drawing>
      </w:r>
    </w:p>
    <w:p>
      <w:r>
        <w:drawing>
          <wp:inline distT="0" distB="0" distL="114300" distR="114300">
            <wp:extent cx="5265420" cy="3776345"/>
            <wp:effectExtent l="0" t="0" r="7620" b="3175"/>
            <wp:docPr id="1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8"/>
                    <pic:cNvPicPr>
                      <a:picLocks noChangeAspect="1"/>
                    </pic:cNvPicPr>
                  </pic:nvPicPr>
                  <pic:blipFill>
                    <a:blip r:embed="rId15"/>
                    <a:stretch>
                      <a:fillRect/>
                    </a:stretch>
                  </pic:blipFill>
                  <pic:spPr>
                    <a:xfrm>
                      <a:off x="0" y="0"/>
                      <a:ext cx="5265420" cy="377634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9D95C"/>
    <w:multiLevelType w:val="singleLevel"/>
    <w:tmpl w:val="8F49D95C"/>
    <w:lvl w:ilvl="0" w:tentative="0">
      <w:start w:val="1"/>
      <w:numFmt w:val="decimal"/>
      <w:lvlText w:val="%1."/>
      <w:lvlJc w:val="left"/>
      <w:pPr>
        <w:tabs>
          <w:tab w:val="left" w:pos="312"/>
        </w:tabs>
      </w:pPr>
    </w:lvl>
  </w:abstractNum>
  <w:abstractNum w:abstractNumId="1">
    <w:nsid w:val="F0FFFC9E"/>
    <w:multiLevelType w:val="singleLevel"/>
    <w:tmpl w:val="F0FFFC9E"/>
    <w:lvl w:ilvl="0" w:tentative="0">
      <w:start w:val="1"/>
      <w:numFmt w:val="decimal"/>
      <w:suff w:val="space"/>
      <w:lvlText w:val="%1."/>
      <w:lvlJc w:val="left"/>
    </w:lvl>
  </w:abstractNum>
  <w:abstractNum w:abstractNumId="2">
    <w:nsid w:val="112516A8"/>
    <w:multiLevelType w:val="singleLevel"/>
    <w:tmpl w:val="112516A8"/>
    <w:lvl w:ilvl="0" w:tentative="0">
      <w:start w:val="1"/>
      <w:numFmt w:val="chineseCounting"/>
      <w:suff w:val="nothing"/>
      <w:lvlText w:val="%1、"/>
      <w:lvlJc w:val="left"/>
      <w:rPr>
        <w:rFonts w:hint="eastAsia"/>
      </w:rPr>
    </w:lvl>
  </w:abstractNum>
  <w:abstractNum w:abstractNumId="3">
    <w:nsid w:val="2177CA17"/>
    <w:multiLevelType w:val="singleLevel"/>
    <w:tmpl w:val="2177CA17"/>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E72F8"/>
    <w:rsid w:val="67566317"/>
    <w:rsid w:val="7D851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200"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2020-10-26T01:38:00Z</dcterms:created>
  <dc:creator>Admin</dc:creator>
  <cp:lastModifiedBy>郑  釒釒釒</cp:lastModifiedBy>
  <dcterms:modified xsi:type="dcterms:W3CDTF">2020-11-17T03:16:44Z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